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3F" w:rsidRDefault="00ED67DC">
      <w:bookmarkStart w:id="0" w:name="_GoBack"/>
      <w:bookmarkEnd w:id="0"/>
      <w:r>
        <w:t xml:space="preserve">Print and cut the term from the definitions. Place slips of paper in an envelope for students to match the term and its definition. Make enough envelops </w:t>
      </w:r>
      <w:proofErr w:type="gramStart"/>
      <w:r>
        <w:t>for</w:t>
      </w:r>
      <w:proofErr w:type="gramEnd"/>
      <w:r>
        <w:t xml:space="preserve"> as many groups there will be in class.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Bandwagon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>Taps into people’s desire to belong or be a part of a group.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Audiences everywhere are raving about </w:t>
            </w:r>
            <w:r>
              <w:rPr>
                <w:i/>
              </w:rPr>
              <w:t>Deception</w:t>
            </w:r>
            <w:r>
              <w:t xml:space="preserve">. </w:t>
            </w:r>
            <w:proofErr w:type="gramStart"/>
            <w:r>
              <w:t>Don’t</w:t>
            </w:r>
            <w:proofErr w:type="gramEnd"/>
            <w:r>
              <w:t xml:space="preserve"> be the only one to miss out on the most suspenseful film in years.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Plain-folks appeal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>Implies that ordinary people are on “our side” or tha</w:t>
            </w:r>
            <w:r>
              <w:t>t candidate is like a regular person.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At last, an investment plan created with real budgets in mind. 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Testimonial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Relies on endorsement from celebrities or satisfied customers.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I lost twenty pounds in six weeks-thanks to the new </w:t>
            </w:r>
            <w:proofErr w:type="spellStart"/>
            <w:r>
              <w:t>TurboCycle</w:t>
            </w:r>
            <w:proofErr w:type="spellEnd"/>
            <w:r>
              <w:t xml:space="preserve"> exercise prog</w:t>
            </w:r>
            <w:r>
              <w:t>ram. You can too!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Transfer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>Connects a product, a candidate, or a cause with a positive image or idea.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>Take pride in being an American. Re-elect Governor Frank.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Appeal to pity, fear, or vanity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Uses strong feelings, rather than facts and evidence, to persuade.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Choose to Enigma XRB-because you deserve a car </w:t>
            </w:r>
            <w:proofErr w:type="gramStart"/>
            <w:r>
              <w:t>that's</w:t>
            </w:r>
            <w:proofErr w:type="gramEnd"/>
            <w:r>
              <w:t xml:space="preserve"> as stylish as you are.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Ethical appeal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Taps into people's values or moral standards.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>If you believe in education, vote against cutti</w:t>
            </w:r>
            <w:r>
              <w:t xml:space="preserve">ng after-school programs. With your help, we can keep the programs going strong. </w:t>
            </w:r>
          </w:p>
        </w:tc>
      </w:tr>
      <w:tr w:rsidR="00097C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r>
              <w:t>Loaded language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Uses words with positive or negative connotations to stir people's emotions.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3F" w:rsidRDefault="00ED67DC">
            <w:pPr>
              <w:widowControl w:val="0"/>
              <w:spacing w:line="240" w:lineRule="auto"/>
            </w:pPr>
            <w:r>
              <w:t xml:space="preserve">Smooth. Silky. Luxuriously creamy. </w:t>
            </w:r>
            <w:proofErr w:type="gramStart"/>
            <w:r>
              <w:t>You'll</w:t>
            </w:r>
            <w:proofErr w:type="gramEnd"/>
            <w:r>
              <w:t xml:space="preserve"> never go back to ordinary low-fat mar</w:t>
            </w:r>
            <w:r>
              <w:t xml:space="preserve">garine. </w:t>
            </w:r>
          </w:p>
        </w:tc>
      </w:tr>
    </w:tbl>
    <w:p w:rsidR="00097C3F" w:rsidRDefault="00097C3F"/>
    <w:p w:rsidR="00097C3F" w:rsidRDefault="00097C3F"/>
    <w:p w:rsidR="00097C3F" w:rsidRDefault="00097C3F"/>
    <w:p w:rsidR="00097C3F" w:rsidRDefault="00097C3F"/>
    <w:p w:rsidR="00097C3F" w:rsidRDefault="00097C3F"/>
    <w:p w:rsidR="00097C3F" w:rsidRDefault="00097C3F"/>
    <w:p w:rsidR="00097C3F" w:rsidRDefault="00097C3F"/>
    <w:sectPr w:rsidR="00097C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F"/>
    <w:rsid w:val="00097C3F"/>
    <w:rsid w:val="00E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88D6C-6E39-4423-A8E0-E9499C84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2017-09-13T18:22:00Z</dcterms:created>
  <dcterms:modified xsi:type="dcterms:W3CDTF">2017-09-13T18:22:00Z</dcterms:modified>
</cp:coreProperties>
</file>