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The Doll’s House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1-9. What do you learn about the doll’s house from the direct comments of the narrator?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back to the excitement you felt when you received a favorite gift. On the basis of your experience, do you find the doll’s house believable? Why or why not?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44-57. Notice what the omniscient narrator reveals about the Burnells. How does this information shape your opinion of the girls?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learn about the townspeople? Explain how the </w:t>
      </w:r>
      <w:r w:rsidDel="00000000" w:rsidR="00000000" w:rsidRPr="00000000">
        <w:rPr>
          <w:b w:val="1"/>
          <w:rtl w:val="0"/>
        </w:rPr>
        <w:t xml:space="preserve">omniscient point of view </w:t>
      </w:r>
      <w:r w:rsidDel="00000000" w:rsidR="00000000" w:rsidRPr="00000000">
        <w:rPr>
          <w:rtl w:val="0"/>
        </w:rPr>
        <w:t xml:space="preserve">allows you to see problems that may affect an entire community?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84-106. Find details that explain why the Kelvey’s are disliked. How might Lil and Else be treated at your school?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about how Kezia’s family acts toward her. Why might she want to share the doll’s house with Kelveys?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190-194. Notice how Lil responds to Else. What does this tell you about their relationship?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Aunt Beryl forbids Kezia to play with the Kelveys. How would you respond if you were in Kezia’s position?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204-221. What does the omniscient narrator reveal about Aunt Beryl and her motives for treating the Kelveys so poorly?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about Kezia and Else’s mutual interest in the lamp. What point do you think Mansfield makes about social status?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